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Tisztelt </w:t>
      </w:r>
      <w:proofErr w:type="spellStart"/>
      <w:r w:rsidRPr="004E32AD">
        <w:rPr>
          <w:rFonts w:ascii="Arial" w:eastAsia="Times New Roman" w:hAnsi="Arial" w:cs="Arial"/>
          <w:color w:val="222222"/>
          <w:sz w:val="20"/>
          <w:szCs w:val="20"/>
          <w:lang w:eastAsia="hu-HU"/>
        </w:rPr>
        <w:t>Csernok</w:t>
      </w:r>
      <w:proofErr w:type="spellEnd"/>
      <w:r w:rsidRPr="004E32AD">
        <w:rPr>
          <w:rFonts w:ascii="Arial" w:eastAsia="Times New Roman" w:hAnsi="Arial" w:cs="Arial"/>
          <w:color w:val="222222"/>
          <w:sz w:val="20"/>
          <w:szCs w:val="20"/>
          <w:lang w:eastAsia="hu-HU"/>
        </w:rPr>
        <w:t xml:space="preserve"> Miklós!</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Ezúton szeretnék reagálni a </w:t>
      </w:r>
      <w:proofErr w:type="spellStart"/>
      <w:r w:rsidRPr="004E32AD">
        <w:rPr>
          <w:rFonts w:ascii="Arial" w:eastAsia="Times New Roman" w:hAnsi="Arial" w:cs="Arial"/>
          <w:color w:val="222222"/>
          <w:sz w:val="20"/>
          <w:szCs w:val="20"/>
          <w:lang w:eastAsia="hu-HU"/>
        </w:rPr>
        <w:t>blogon</w:t>
      </w:r>
      <w:proofErr w:type="spellEnd"/>
      <w:r w:rsidRPr="004E32AD">
        <w:rPr>
          <w:rFonts w:ascii="Arial" w:eastAsia="Times New Roman" w:hAnsi="Arial" w:cs="Arial"/>
          <w:color w:val="222222"/>
          <w:sz w:val="20"/>
          <w:szCs w:val="20"/>
          <w:lang w:eastAsia="hu-HU"/>
        </w:rPr>
        <w:t xml:space="preserve"> megjelent bejegyzésre, ami a </w:t>
      </w:r>
      <w:proofErr w:type="spellStart"/>
      <w:r w:rsidRPr="004E32AD">
        <w:rPr>
          <w:rFonts w:ascii="Arial" w:eastAsia="Times New Roman" w:hAnsi="Arial" w:cs="Arial"/>
          <w:color w:val="222222"/>
          <w:sz w:val="20"/>
          <w:szCs w:val="20"/>
          <w:lang w:eastAsia="hu-HU"/>
        </w:rPr>
        <w:t>Timberland</w:t>
      </w:r>
      <w:proofErr w:type="spellEnd"/>
      <w:r w:rsidRPr="004E32AD">
        <w:rPr>
          <w:rFonts w:ascii="Arial" w:eastAsia="Times New Roman" w:hAnsi="Arial" w:cs="Arial"/>
          <w:color w:val="222222"/>
          <w:sz w:val="20"/>
          <w:szCs w:val="20"/>
          <w:lang w:eastAsia="hu-HU"/>
        </w:rPr>
        <w:t xml:space="preserve"> Befektetési Alapot minősíti.</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A </w:t>
      </w:r>
      <w:proofErr w:type="spellStart"/>
      <w:r w:rsidRPr="004E32AD">
        <w:rPr>
          <w:rFonts w:ascii="Arial" w:eastAsia="Times New Roman" w:hAnsi="Arial" w:cs="Arial"/>
          <w:color w:val="222222"/>
          <w:sz w:val="20"/>
          <w:szCs w:val="20"/>
          <w:lang w:eastAsia="hu-HU"/>
        </w:rPr>
        <w:t>Timberland</w:t>
      </w:r>
      <w:proofErr w:type="spellEnd"/>
      <w:r w:rsidRPr="004E32AD">
        <w:rPr>
          <w:rFonts w:ascii="Arial" w:eastAsia="Times New Roman" w:hAnsi="Arial" w:cs="Arial"/>
          <w:color w:val="222222"/>
          <w:sz w:val="20"/>
          <w:szCs w:val="20"/>
          <w:lang w:eastAsia="hu-HU"/>
        </w:rPr>
        <w:t xml:space="preserve"> </w:t>
      </w:r>
      <w:proofErr w:type="spellStart"/>
      <w:r w:rsidRPr="004E32AD">
        <w:rPr>
          <w:rFonts w:ascii="Arial" w:eastAsia="Times New Roman" w:hAnsi="Arial" w:cs="Arial"/>
          <w:color w:val="222222"/>
          <w:sz w:val="20"/>
          <w:szCs w:val="20"/>
          <w:lang w:eastAsia="hu-HU"/>
        </w:rPr>
        <w:t>Fonds</w:t>
      </w:r>
      <w:proofErr w:type="spellEnd"/>
      <w:r w:rsidRPr="004E32AD">
        <w:rPr>
          <w:rFonts w:ascii="Arial" w:eastAsia="Times New Roman" w:hAnsi="Arial" w:cs="Arial"/>
          <w:color w:val="222222"/>
          <w:sz w:val="20"/>
          <w:szCs w:val="20"/>
          <w:lang w:eastAsia="hu-HU"/>
        </w:rPr>
        <w:t xml:space="preserve"> egy részesedési jogokra épülő (németül </w:t>
      </w:r>
      <w:proofErr w:type="spellStart"/>
      <w:r w:rsidRPr="004E32AD">
        <w:rPr>
          <w:rFonts w:ascii="Arial" w:eastAsia="Times New Roman" w:hAnsi="Arial" w:cs="Arial"/>
          <w:color w:val="222222"/>
          <w:sz w:val="20"/>
          <w:szCs w:val="20"/>
          <w:lang w:eastAsia="hu-HU"/>
        </w:rPr>
        <w:t>Genußrechte</w:t>
      </w:r>
      <w:proofErr w:type="spellEnd"/>
      <w:r w:rsidRPr="004E32AD">
        <w:rPr>
          <w:rFonts w:ascii="Arial" w:eastAsia="Times New Roman" w:hAnsi="Arial" w:cs="Arial"/>
          <w:color w:val="222222"/>
          <w:sz w:val="20"/>
          <w:szCs w:val="20"/>
          <w:lang w:eastAsia="hu-HU"/>
        </w:rPr>
        <w:t xml:space="preserve">), zárt végű befektetési alap, melyet a </w:t>
      </w:r>
      <w:proofErr w:type="spellStart"/>
      <w:r w:rsidRPr="004E32AD">
        <w:rPr>
          <w:rFonts w:ascii="Arial" w:eastAsia="Times New Roman" w:hAnsi="Arial" w:cs="Arial"/>
          <w:color w:val="222222"/>
          <w:sz w:val="20"/>
          <w:szCs w:val="20"/>
          <w:lang w:eastAsia="hu-HU"/>
        </w:rPr>
        <w:t>Timberland</w:t>
      </w:r>
      <w:proofErr w:type="spellEnd"/>
      <w:r w:rsidRPr="004E32AD">
        <w:rPr>
          <w:rFonts w:ascii="Arial" w:eastAsia="Times New Roman" w:hAnsi="Arial" w:cs="Arial"/>
          <w:color w:val="222222"/>
          <w:sz w:val="20"/>
          <w:szCs w:val="20"/>
          <w:lang w:eastAsia="hu-HU"/>
        </w:rPr>
        <w:t xml:space="preserve"> Capital AG bocsát ki. Az alap 2009-ben jött létre, de a menedzsment már </w:t>
      </w:r>
      <w:proofErr w:type="gramStart"/>
      <w:r w:rsidRPr="004E32AD">
        <w:rPr>
          <w:rFonts w:ascii="Arial" w:eastAsia="Times New Roman" w:hAnsi="Arial" w:cs="Arial"/>
          <w:color w:val="222222"/>
          <w:sz w:val="20"/>
          <w:szCs w:val="20"/>
          <w:lang w:eastAsia="hu-HU"/>
        </w:rPr>
        <w:t>több, mint</w:t>
      </w:r>
      <w:proofErr w:type="gramEnd"/>
      <w:r w:rsidRPr="004E32AD">
        <w:rPr>
          <w:rFonts w:ascii="Arial" w:eastAsia="Times New Roman" w:hAnsi="Arial" w:cs="Arial"/>
          <w:color w:val="222222"/>
          <w:sz w:val="20"/>
          <w:szCs w:val="20"/>
          <w:lang w:eastAsia="hu-HU"/>
        </w:rPr>
        <w:t xml:space="preserve"> 20 éve foglalkozik privát vagyonkezeléssel Németországban és Luxemburgban. Tevékenységünket a német pénzügyi felügyelet, a </w:t>
      </w:r>
      <w:proofErr w:type="spellStart"/>
      <w:r w:rsidRPr="004E32AD">
        <w:rPr>
          <w:rFonts w:ascii="Arial" w:eastAsia="Times New Roman" w:hAnsi="Arial" w:cs="Arial"/>
          <w:color w:val="222222"/>
          <w:sz w:val="20"/>
          <w:szCs w:val="20"/>
          <w:lang w:eastAsia="hu-HU"/>
        </w:rPr>
        <w:t>BaFin</w:t>
      </w:r>
      <w:proofErr w:type="spellEnd"/>
      <w:r w:rsidRPr="004E32AD">
        <w:rPr>
          <w:rFonts w:ascii="Arial" w:eastAsia="Times New Roman" w:hAnsi="Arial" w:cs="Arial"/>
          <w:color w:val="222222"/>
          <w:sz w:val="20"/>
          <w:szCs w:val="20"/>
          <w:lang w:eastAsia="hu-HU"/>
        </w:rPr>
        <w:t xml:space="preserve"> felügyelete alatt végezzük. Az alap 100 millió EUR kibocsátási volumennel bír.</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Figyelembe véve, hogy Németországban </w:t>
      </w:r>
      <w:proofErr w:type="gramStart"/>
      <w:r w:rsidRPr="004E32AD">
        <w:rPr>
          <w:rFonts w:ascii="Arial" w:eastAsia="Times New Roman" w:hAnsi="Arial" w:cs="Arial"/>
          <w:color w:val="222222"/>
          <w:sz w:val="20"/>
          <w:szCs w:val="20"/>
          <w:lang w:eastAsia="hu-HU"/>
        </w:rPr>
        <w:t>több, mint</w:t>
      </w:r>
      <w:proofErr w:type="gramEnd"/>
      <w:r w:rsidRPr="004E32AD">
        <w:rPr>
          <w:rFonts w:ascii="Arial" w:eastAsia="Times New Roman" w:hAnsi="Arial" w:cs="Arial"/>
          <w:color w:val="222222"/>
          <w:sz w:val="20"/>
          <w:szCs w:val="20"/>
          <w:lang w:eastAsia="hu-HU"/>
        </w:rPr>
        <w:t xml:space="preserve"> 11.000 befektetési alap  elérhető, melyek összesen több, mint 2.104 milliárd EUR-nyi vagyont kezelnek (a </w:t>
      </w:r>
      <w:proofErr w:type="spellStart"/>
      <w:r w:rsidRPr="004E32AD">
        <w:rPr>
          <w:rFonts w:ascii="Arial" w:eastAsia="Times New Roman" w:hAnsi="Arial" w:cs="Arial"/>
          <w:color w:val="222222"/>
          <w:sz w:val="20"/>
          <w:szCs w:val="20"/>
          <w:lang w:eastAsia="hu-HU"/>
        </w:rPr>
        <w:t>Bundesverband</w:t>
      </w:r>
      <w:proofErr w:type="spellEnd"/>
      <w:r w:rsidRPr="004E32AD">
        <w:rPr>
          <w:rFonts w:ascii="Arial" w:eastAsia="Times New Roman" w:hAnsi="Arial" w:cs="Arial"/>
          <w:color w:val="222222"/>
          <w:sz w:val="20"/>
          <w:szCs w:val="20"/>
          <w:lang w:eastAsia="hu-HU"/>
        </w:rPr>
        <w:t xml:space="preserve"> </w:t>
      </w:r>
      <w:proofErr w:type="spellStart"/>
      <w:r w:rsidRPr="004E32AD">
        <w:rPr>
          <w:rFonts w:ascii="Arial" w:eastAsia="Times New Roman" w:hAnsi="Arial" w:cs="Arial"/>
          <w:color w:val="222222"/>
          <w:sz w:val="20"/>
          <w:szCs w:val="20"/>
          <w:lang w:eastAsia="hu-HU"/>
        </w:rPr>
        <w:t>Investment</w:t>
      </w:r>
      <w:proofErr w:type="spellEnd"/>
      <w:r w:rsidRPr="004E32AD">
        <w:rPr>
          <w:rFonts w:ascii="Arial" w:eastAsia="Times New Roman" w:hAnsi="Arial" w:cs="Arial"/>
          <w:color w:val="222222"/>
          <w:sz w:val="20"/>
          <w:szCs w:val="20"/>
          <w:lang w:eastAsia="hu-HU"/>
        </w:rPr>
        <w:t xml:space="preserve"> und </w:t>
      </w:r>
      <w:proofErr w:type="spellStart"/>
      <w:r w:rsidRPr="004E32AD">
        <w:rPr>
          <w:rFonts w:ascii="Arial" w:eastAsia="Times New Roman" w:hAnsi="Arial" w:cs="Arial"/>
          <w:color w:val="222222"/>
          <w:sz w:val="20"/>
          <w:szCs w:val="20"/>
          <w:lang w:eastAsia="hu-HU"/>
        </w:rPr>
        <w:t>Asset</w:t>
      </w:r>
      <w:proofErr w:type="spellEnd"/>
      <w:r w:rsidRPr="004E32AD">
        <w:rPr>
          <w:rFonts w:ascii="Arial" w:eastAsia="Times New Roman" w:hAnsi="Arial" w:cs="Arial"/>
          <w:color w:val="222222"/>
          <w:sz w:val="20"/>
          <w:szCs w:val="20"/>
          <w:lang w:eastAsia="hu-HU"/>
        </w:rPr>
        <w:t xml:space="preserve"> Management, BVI 2013-as statisztikái alapján), nem tartom meglepőnek, hogy kevés információt találni a </w:t>
      </w:r>
      <w:proofErr w:type="spellStart"/>
      <w:r w:rsidRPr="004E32AD">
        <w:rPr>
          <w:rFonts w:ascii="Arial" w:eastAsia="Times New Roman" w:hAnsi="Arial" w:cs="Arial"/>
          <w:color w:val="222222"/>
          <w:sz w:val="20"/>
          <w:szCs w:val="20"/>
          <w:lang w:eastAsia="hu-HU"/>
        </w:rPr>
        <w:t>Timberlandról</w:t>
      </w:r>
      <w:proofErr w:type="spellEnd"/>
      <w:r w:rsidRPr="004E32AD">
        <w:rPr>
          <w:rFonts w:ascii="Arial" w:eastAsia="Times New Roman" w:hAnsi="Arial" w:cs="Arial"/>
          <w:color w:val="222222"/>
          <w:sz w:val="20"/>
          <w:szCs w:val="20"/>
          <w:lang w:eastAsia="hu-HU"/>
        </w:rPr>
        <w:t xml:space="preserve"> és, hogy soha nem hallott rólunk a hivatkozott ügyfél. Tapasztalataink </w:t>
      </w:r>
      <w:proofErr w:type="gramStart"/>
      <w:r w:rsidRPr="004E32AD">
        <w:rPr>
          <w:rFonts w:ascii="Arial" w:eastAsia="Times New Roman" w:hAnsi="Arial" w:cs="Arial"/>
          <w:color w:val="222222"/>
          <w:sz w:val="20"/>
          <w:szCs w:val="20"/>
          <w:lang w:eastAsia="hu-HU"/>
        </w:rPr>
        <w:t>alapján</w:t>
      </w:r>
      <w:proofErr w:type="gramEnd"/>
      <w:r w:rsidRPr="004E32AD">
        <w:rPr>
          <w:rFonts w:ascii="Arial" w:eastAsia="Times New Roman" w:hAnsi="Arial" w:cs="Arial"/>
          <w:color w:val="222222"/>
          <w:sz w:val="20"/>
          <w:szCs w:val="20"/>
          <w:lang w:eastAsia="hu-HU"/>
        </w:rPr>
        <w:t xml:space="preserve"> Magyarországon kevésbé elterjedtek a befektetési alapok, ezért jellemzően a nagy nevű és általánosan ismert befektetési alapok, vállalkozások nevével is viszonylag kevesen találkoznak.</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Alapunk nem kínál sem garantált hozamot, sem pedig tőkevédelmet. Ezt partnercégeink, illetve ügyfeleink számára is nyilvánvalóvá tesszük, mind a nyilvánosan elérhető dokumentumainkban, mind pedig a személyes találkozások során. Az ettől eltérő kommunikációtól elhatárolódunk és igyekszünk kiszűrni a lódító partnereket, tanácsadókat.</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Sajnálattal olvastam, hogy termékünk leírása során jobbára felületes információkra támaszkodik, illetve számos lényeges részletet teljes mértékben figyelmen kívül hagy, totálisan fals és negatív képet felvázolva ezzel cégünkről. A legfőbb probléma az, hogy Ön kiragadott egy portfólió elemet (Hozamportfólió) a termékünkből és kizárólag az alapján alkotott véleményt, holott a többi portfólió elem (Nemesfém portfólió és Kamatozó letét) is szerves és elválaszthatatlan részét képezi a terméknek. Utóbbi kettőről 1-1 szót ejt csupán, de azt is tévesen.</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Ön a terméket úgy állítja be, mintha alapok-alapjaként egybe csomagoltuk volna a 3 nyílt végű alapot (DWS, DJE, </w:t>
      </w:r>
      <w:proofErr w:type="spellStart"/>
      <w:r w:rsidRPr="004E32AD">
        <w:rPr>
          <w:rFonts w:ascii="Arial" w:eastAsia="Times New Roman" w:hAnsi="Arial" w:cs="Arial"/>
          <w:color w:val="222222"/>
          <w:sz w:val="20"/>
          <w:szCs w:val="20"/>
          <w:lang w:eastAsia="hu-HU"/>
        </w:rPr>
        <w:t>Carmignac</w:t>
      </w:r>
      <w:proofErr w:type="spellEnd"/>
      <w:r w:rsidRPr="004E32AD">
        <w:rPr>
          <w:rFonts w:ascii="Arial" w:eastAsia="Times New Roman" w:hAnsi="Arial" w:cs="Arial"/>
          <w:color w:val="222222"/>
          <w:sz w:val="20"/>
          <w:szCs w:val="20"/>
          <w:lang w:eastAsia="hu-HU"/>
        </w:rPr>
        <w:t>) és ezeket jóval drágábban továbbadnánk ügyfeleinknek. A valóságban termékünk mellőzi a faék egyszerűségét és jóval komplexebb, mint ahogyan azt Ön leírja.</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Alapunk 3 portfólió elemből áll:</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before="100" w:beforeAutospacing="1" w:after="100" w:afterAutospacing="1" w:line="240" w:lineRule="auto"/>
        <w:ind w:left="360"/>
        <w:rPr>
          <w:rFonts w:ascii="Arial" w:eastAsia="Times New Roman" w:hAnsi="Arial" w:cs="Arial"/>
          <w:color w:val="222222"/>
          <w:sz w:val="20"/>
          <w:szCs w:val="20"/>
          <w:lang w:eastAsia="hu-HU"/>
        </w:rPr>
      </w:pPr>
      <w:proofErr w:type="spellStart"/>
      <w:r w:rsidRPr="004E32AD">
        <w:rPr>
          <w:rFonts w:ascii="Arial" w:eastAsia="Times New Roman" w:hAnsi="Arial" w:cs="Arial"/>
          <w:color w:val="222222"/>
          <w:sz w:val="20"/>
          <w:szCs w:val="20"/>
          <w:u w:val="single"/>
          <w:lang w:eastAsia="hu-HU"/>
        </w:rPr>
        <w:t>Hozmaportfólió</w:t>
      </w:r>
      <w:proofErr w:type="spellEnd"/>
      <w:r w:rsidRPr="004E32AD">
        <w:rPr>
          <w:rFonts w:ascii="Arial" w:eastAsia="Times New Roman" w:hAnsi="Arial" w:cs="Arial"/>
          <w:color w:val="222222"/>
          <w:sz w:val="20"/>
          <w:szCs w:val="20"/>
          <w:lang w:eastAsia="hu-HU"/>
        </w:rPr>
        <w:br/>
        <w:t xml:space="preserve">Tartalmazza a 3 említett osztalékorientált, nyílt végű alapot. Ezek osztalékot fizető részvényekbe, főleg </w:t>
      </w:r>
      <w:proofErr w:type="spellStart"/>
      <w:r w:rsidRPr="004E32AD">
        <w:rPr>
          <w:rFonts w:ascii="Arial" w:eastAsia="Times New Roman" w:hAnsi="Arial" w:cs="Arial"/>
          <w:color w:val="222222"/>
          <w:sz w:val="20"/>
          <w:szCs w:val="20"/>
          <w:lang w:eastAsia="hu-HU"/>
        </w:rPr>
        <w:t>blue</w:t>
      </w:r>
      <w:proofErr w:type="spellEnd"/>
      <w:r w:rsidRPr="004E32AD">
        <w:rPr>
          <w:rFonts w:ascii="Arial" w:eastAsia="Times New Roman" w:hAnsi="Arial" w:cs="Arial"/>
          <w:color w:val="222222"/>
          <w:sz w:val="20"/>
          <w:szCs w:val="20"/>
          <w:lang w:eastAsia="hu-HU"/>
        </w:rPr>
        <w:t xml:space="preserve"> chipekbe fektetnek. Előnyük a stabilitás és az osztalékfizetések miatt elérhető kiemelkedő hozam, hosszútávon. </w:t>
      </w:r>
      <w:proofErr w:type="gramStart"/>
      <w:r w:rsidRPr="004E32AD">
        <w:rPr>
          <w:rFonts w:ascii="Arial" w:eastAsia="Times New Roman" w:hAnsi="Arial" w:cs="Arial"/>
          <w:color w:val="222222"/>
          <w:sz w:val="20"/>
          <w:szCs w:val="20"/>
          <w:lang w:eastAsia="hu-HU"/>
        </w:rPr>
        <w:t>Kérem</w:t>
      </w:r>
      <w:proofErr w:type="gramEnd"/>
      <w:r w:rsidRPr="004E32AD">
        <w:rPr>
          <w:rFonts w:ascii="Arial" w:eastAsia="Times New Roman" w:hAnsi="Arial" w:cs="Arial"/>
          <w:color w:val="222222"/>
          <w:sz w:val="20"/>
          <w:szCs w:val="20"/>
          <w:lang w:eastAsia="hu-HU"/>
        </w:rPr>
        <w:t xml:space="preserve"> vizsgálja meg az alapokat tüzetesebben, a </w:t>
      </w:r>
      <w:proofErr w:type="spellStart"/>
      <w:r w:rsidRPr="004E32AD">
        <w:rPr>
          <w:rFonts w:ascii="Arial" w:eastAsia="Times New Roman" w:hAnsi="Arial" w:cs="Arial"/>
          <w:color w:val="222222"/>
          <w:sz w:val="20"/>
          <w:szCs w:val="20"/>
          <w:lang w:eastAsia="hu-HU"/>
        </w:rPr>
        <w:t>Morningstar</w:t>
      </w:r>
      <w:proofErr w:type="spellEnd"/>
      <w:r w:rsidRPr="004E32AD">
        <w:rPr>
          <w:rFonts w:ascii="Arial" w:eastAsia="Times New Roman" w:hAnsi="Arial" w:cs="Arial"/>
          <w:color w:val="222222"/>
          <w:sz w:val="20"/>
          <w:szCs w:val="20"/>
          <w:lang w:eastAsia="hu-HU"/>
        </w:rPr>
        <w:t xml:space="preserve"> értékelésen túl is. 10 éves távlatban kivétel nélkül 8% fölötti éves értéknövekedést mutatnak.</w:t>
      </w:r>
      <w:r w:rsidRPr="004E32AD">
        <w:rPr>
          <w:rFonts w:ascii="Arial" w:eastAsia="Times New Roman" w:hAnsi="Arial" w:cs="Arial"/>
          <w:color w:val="222222"/>
          <w:sz w:val="20"/>
          <w:szCs w:val="20"/>
          <w:lang w:eastAsia="hu-HU"/>
        </w:rPr>
        <w:br/>
      </w:r>
      <w:r w:rsidRPr="004E32AD">
        <w:rPr>
          <w:rFonts w:ascii="Arial" w:eastAsia="Times New Roman" w:hAnsi="Arial" w:cs="Arial"/>
          <w:color w:val="222222"/>
          <w:sz w:val="20"/>
          <w:szCs w:val="20"/>
          <w:lang w:eastAsia="hu-HU"/>
        </w:rPr>
        <w:br/>
      </w:r>
      <w:r w:rsidRPr="004E32AD">
        <w:rPr>
          <w:rFonts w:ascii="Arial" w:eastAsia="Times New Roman" w:hAnsi="Arial" w:cs="Arial"/>
          <w:color w:val="222222"/>
          <w:sz w:val="18"/>
          <w:szCs w:val="18"/>
          <w:lang w:eastAsia="hu-HU"/>
        </w:rPr>
        <w:t>DJE - </w:t>
      </w:r>
      <w:hyperlink r:id="rId5" w:tgtFrame="_blank" w:history="1">
        <w:r w:rsidRPr="004E32AD">
          <w:rPr>
            <w:rFonts w:ascii="Arial" w:eastAsia="Times New Roman" w:hAnsi="Arial" w:cs="Arial"/>
            <w:color w:val="1155CC"/>
            <w:sz w:val="18"/>
            <w:szCs w:val="18"/>
            <w:u w:val="single"/>
            <w:lang w:eastAsia="hu-HU"/>
          </w:rPr>
          <w:t>http://www.dje.de/DE_de/fonds/wertentwicklung/lu0229080733-dje-dividende-und-substanz-xp-eur</w:t>
        </w:r>
      </w:hyperlink>
      <w:r w:rsidRPr="004E32AD">
        <w:rPr>
          <w:rFonts w:ascii="Arial" w:eastAsia="Times New Roman" w:hAnsi="Arial" w:cs="Arial"/>
          <w:color w:val="222222"/>
          <w:sz w:val="18"/>
          <w:szCs w:val="18"/>
          <w:lang w:eastAsia="hu-HU"/>
        </w:rPr>
        <w:br/>
        <w:t>DWS - </w:t>
      </w:r>
      <w:hyperlink r:id="rId6" w:tgtFrame="_blank" w:history="1">
        <w:r w:rsidRPr="004E32AD">
          <w:rPr>
            <w:rFonts w:ascii="Arial" w:eastAsia="Times New Roman" w:hAnsi="Arial" w:cs="Arial"/>
            <w:color w:val="1155CC"/>
            <w:sz w:val="18"/>
            <w:szCs w:val="18"/>
            <w:u w:val="single"/>
            <w:lang w:eastAsia="hu-HU"/>
          </w:rPr>
          <w:t>https://www.dws.de/Produkte/Fonds/592/Portrait</w:t>
        </w:r>
      </w:hyperlink>
      <w:r w:rsidRPr="004E32AD">
        <w:rPr>
          <w:rFonts w:ascii="Arial" w:eastAsia="Times New Roman" w:hAnsi="Arial" w:cs="Arial"/>
          <w:color w:val="222222"/>
          <w:sz w:val="18"/>
          <w:szCs w:val="18"/>
          <w:lang w:eastAsia="hu-HU"/>
        </w:rPr>
        <w:br/>
      </w:r>
      <w:proofErr w:type="spellStart"/>
      <w:r w:rsidRPr="004E32AD">
        <w:rPr>
          <w:rFonts w:ascii="Arial" w:eastAsia="Times New Roman" w:hAnsi="Arial" w:cs="Arial"/>
          <w:color w:val="222222"/>
          <w:sz w:val="18"/>
          <w:szCs w:val="18"/>
          <w:lang w:eastAsia="hu-HU"/>
        </w:rPr>
        <w:t>Carmignac</w:t>
      </w:r>
      <w:proofErr w:type="spellEnd"/>
      <w:r w:rsidRPr="004E32AD">
        <w:rPr>
          <w:rFonts w:ascii="Arial" w:eastAsia="Times New Roman" w:hAnsi="Arial" w:cs="Arial"/>
          <w:color w:val="222222"/>
          <w:sz w:val="18"/>
          <w:szCs w:val="18"/>
          <w:lang w:eastAsia="hu-HU"/>
        </w:rPr>
        <w:t xml:space="preserve"> - </w:t>
      </w:r>
      <w:hyperlink r:id="rId7" w:tgtFrame="_blank" w:history="1">
        <w:r w:rsidRPr="004E32AD">
          <w:rPr>
            <w:rFonts w:ascii="Arial" w:eastAsia="Times New Roman" w:hAnsi="Arial" w:cs="Arial"/>
            <w:color w:val="1155CC"/>
            <w:sz w:val="18"/>
            <w:szCs w:val="18"/>
            <w:u w:val="single"/>
            <w:lang w:eastAsia="hu-HU"/>
          </w:rPr>
          <w:t>http://www.carmignac.fr/en/carmignac-investissement-a-eur-acc</w:t>
        </w:r>
      </w:hyperlink>
    </w:p>
    <w:p w:rsidR="004E32AD" w:rsidRPr="004E32AD" w:rsidRDefault="004E32AD" w:rsidP="004E32AD">
      <w:pPr>
        <w:shd w:val="clear" w:color="auto" w:fill="FFFFFF"/>
        <w:spacing w:before="100" w:beforeAutospacing="1" w:after="100" w:afterAutospacing="1" w:line="240" w:lineRule="auto"/>
        <w:ind w:left="360"/>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after="0" w:line="240" w:lineRule="auto"/>
        <w:ind w:left="360"/>
        <w:rPr>
          <w:rFonts w:ascii="Arial" w:eastAsia="Times New Roman" w:hAnsi="Arial" w:cs="Arial"/>
          <w:color w:val="222222"/>
          <w:sz w:val="20"/>
          <w:szCs w:val="20"/>
          <w:lang w:eastAsia="hu-HU"/>
        </w:rPr>
      </w:pPr>
      <w:r w:rsidRPr="004E32AD">
        <w:rPr>
          <w:rFonts w:ascii="Arial" w:eastAsia="Times New Roman" w:hAnsi="Arial" w:cs="Arial"/>
          <w:color w:val="222222"/>
          <w:sz w:val="20"/>
          <w:szCs w:val="20"/>
          <w:u w:val="single"/>
          <w:lang w:eastAsia="hu-HU"/>
        </w:rPr>
        <w:t>Nemesfém portfólió</w:t>
      </w:r>
      <w:r w:rsidRPr="004E32AD">
        <w:rPr>
          <w:rFonts w:ascii="Arial" w:eastAsia="Times New Roman" w:hAnsi="Arial" w:cs="Arial"/>
          <w:color w:val="222222"/>
          <w:sz w:val="20"/>
          <w:szCs w:val="20"/>
          <w:u w:val="single"/>
          <w:lang w:eastAsia="hu-HU"/>
        </w:rPr>
        <w:br/>
      </w:r>
      <w:r w:rsidRPr="004E32AD">
        <w:rPr>
          <w:rFonts w:ascii="Arial" w:eastAsia="Times New Roman" w:hAnsi="Arial" w:cs="Arial"/>
          <w:color w:val="222222"/>
          <w:sz w:val="20"/>
          <w:szCs w:val="20"/>
          <w:lang w:eastAsia="hu-HU"/>
        </w:rPr>
        <w:t xml:space="preserve">Fizikai </w:t>
      </w:r>
      <w:proofErr w:type="spellStart"/>
      <w:r w:rsidRPr="004E32AD">
        <w:rPr>
          <w:rFonts w:ascii="Arial" w:eastAsia="Times New Roman" w:hAnsi="Arial" w:cs="Arial"/>
          <w:color w:val="222222"/>
          <w:sz w:val="20"/>
          <w:szCs w:val="20"/>
          <w:lang w:eastAsia="hu-HU"/>
        </w:rPr>
        <w:t>trezoraranyat</w:t>
      </w:r>
      <w:proofErr w:type="spellEnd"/>
      <w:r w:rsidRPr="004E32AD">
        <w:rPr>
          <w:rFonts w:ascii="Arial" w:eastAsia="Times New Roman" w:hAnsi="Arial" w:cs="Arial"/>
          <w:color w:val="222222"/>
          <w:sz w:val="20"/>
          <w:szCs w:val="20"/>
          <w:lang w:eastAsia="hu-HU"/>
        </w:rPr>
        <w:t xml:space="preserve"> jelent, amit az aktuális London Fixing kondíciók szerint szerzünk be. Nem csak állítólag, hanem valójában is. Főleg stabilizáló vagyonelem szerepét tölti be, az inflációval szembeni védelmet nyújt. Bizonyos arányban minden befektetési osztálynak része, de lehetőség van 100% Arany Letét indítására is.</w:t>
      </w:r>
      <w:r w:rsidRPr="004E32AD">
        <w:rPr>
          <w:rFonts w:ascii="Arial" w:eastAsia="Times New Roman" w:hAnsi="Arial" w:cs="Arial"/>
          <w:color w:val="222222"/>
          <w:sz w:val="20"/>
          <w:szCs w:val="20"/>
          <w:lang w:eastAsia="hu-HU"/>
        </w:rPr>
        <w:br/>
      </w:r>
      <w:r w:rsidRPr="004E32AD">
        <w:rPr>
          <w:rFonts w:ascii="Arial" w:eastAsia="Times New Roman" w:hAnsi="Arial" w:cs="Arial"/>
          <w:color w:val="222222"/>
          <w:sz w:val="18"/>
          <w:szCs w:val="18"/>
          <w:lang w:eastAsia="hu-HU"/>
        </w:rPr>
        <w:t>Bővebben:</w:t>
      </w:r>
      <w:hyperlink r:id="rId8" w:tgtFrame="_blank" w:history="1">
        <w:r w:rsidRPr="004E32AD">
          <w:rPr>
            <w:rFonts w:ascii="Arial" w:eastAsia="Times New Roman" w:hAnsi="Arial" w:cs="Arial"/>
            <w:color w:val="1155CC"/>
            <w:sz w:val="18"/>
            <w:szCs w:val="18"/>
            <w:u w:val="single"/>
            <w:lang w:eastAsia="hu-HU"/>
          </w:rPr>
          <w:t> https://www.timberland-capital.com/hu/befektetesi-formak/aranyletet-aktiv/</w:t>
        </w:r>
      </w:hyperlink>
    </w:p>
    <w:p w:rsidR="004E32AD" w:rsidRPr="004E32AD" w:rsidRDefault="004E32AD" w:rsidP="004E32AD">
      <w:pPr>
        <w:shd w:val="clear" w:color="auto" w:fill="FFFFFF"/>
        <w:spacing w:after="0" w:line="240" w:lineRule="auto"/>
        <w:ind w:left="360"/>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ind w:left="360"/>
        <w:rPr>
          <w:rFonts w:ascii="Arial" w:eastAsia="Times New Roman" w:hAnsi="Arial" w:cs="Arial"/>
          <w:color w:val="222222"/>
          <w:sz w:val="20"/>
          <w:szCs w:val="20"/>
          <w:lang w:eastAsia="hu-HU"/>
        </w:rPr>
      </w:pPr>
      <w:r w:rsidRPr="004E32AD">
        <w:rPr>
          <w:rFonts w:ascii="Arial" w:eastAsia="Times New Roman" w:hAnsi="Arial" w:cs="Arial"/>
          <w:color w:val="222222"/>
          <w:sz w:val="20"/>
          <w:szCs w:val="20"/>
          <w:u w:val="single"/>
          <w:lang w:eastAsia="hu-HU"/>
        </w:rPr>
        <w:t>Kamatozó letét</w:t>
      </w:r>
      <w:r w:rsidRPr="004E32AD">
        <w:rPr>
          <w:rFonts w:ascii="Arial" w:eastAsia="Times New Roman" w:hAnsi="Arial" w:cs="Arial"/>
          <w:color w:val="222222"/>
          <w:sz w:val="20"/>
          <w:szCs w:val="20"/>
          <w:u w:val="single"/>
          <w:lang w:eastAsia="hu-HU"/>
        </w:rPr>
        <w:br/>
      </w:r>
      <w:r w:rsidRPr="004E32AD">
        <w:rPr>
          <w:rFonts w:ascii="Arial" w:eastAsia="Times New Roman" w:hAnsi="Arial" w:cs="Arial"/>
          <w:color w:val="222222"/>
          <w:sz w:val="20"/>
          <w:szCs w:val="20"/>
          <w:lang w:eastAsia="hu-HU"/>
        </w:rPr>
        <w:t xml:space="preserve">Ellentétben azzal, amit Ön állít, nem kötvényalapok tartoznak ide, hanem német záloglevelek. Fix kamatozású, zálogbankok által kibocsátott papírok, melyek értékük </w:t>
      </w:r>
      <w:proofErr w:type="gramStart"/>
      <w:r w:rsidRPr="004E32AD">
        <w:rPr>
          <w:rFonts w:ascii="Arial" w:eastAsia="Times New Roman" w:hAnsi="Arial" w:cs="Arial"/>
          <w:color w:val="222222"/>
          <w:sz w:val="20"/>
          <w:szCs w:val="20"/>
          <w:lang w:eastAsia="hu-HU"/>
        </w:rPr>
        <w:t>több, mint</w:t>
      </w:r>
      <w:proofErr w:type="gramEnd"/>
      <w:r w:rsidRPr="004E32AD">
        <w:rPr>
          <w:rFonts w:ascii="Arial" w:eastAsia="Times New Roman" w:hAnsi="Arial" w:cs="Arial"/>
          <w:color w:val="222222"/>
          <w:sz w:val="20"/>
          <w:szCs w:val="20"/>
          <w:lang w:eastAsia="hu-HU"/>
        </w:rPr>
        <w:t xml:space="preserve"> 100%-ban német </w:t>
      </w:r>
      <w:r w:rsidRPr="004E32AD">
        <w:rPr>
          <w:rFonts w:ascii="Arial" w:eastAsia="Times New Roman" w:hAnsi="Arial" w:cs="Arial"/>
          <w:color w:val="222222"/>
          <w:sz w:val="20"/>
          <w:szCs w:val="20"/>
          <w:lang w:eastAsia="hu-HU"/>
        </w:rPr>
        <w:lastRenderedPageBreak/>
        <w:t>ingatlanfedezettel vannak ellátva. Ezek az általunk ismert legbiztonságosabb papírok. Átlagos hozam évente 1-3%.</w:t>
      </w:r>
    </w:p>
    <w:p w:rsidR="004E32AD" w:rsidRPr="004E32AD" w:rsidRDefault="004E32AD" w:rsidP="004E32AD">
      <w:pPr>
        <w:shd w:val="clear" w:color="auto" w:fill="FFFFFF"/>
        <w:spacing w:after="0" w:line="240" w:lineRule="auto"/>
        <w:ind w:left="360"/>
        <w:rPr>
          <w:rFonts w:ascii="Arial" w:eastAsia="Times New Roman" w:hAnsi="Arial" w:cs="Arial"/>
          <w:color w:val="222222"/>
          <w:sz w:val="20"/>
          <w:szCs w:val="20"/>
          <w:lang w:eastAsia="hu-HU"/>
        </w:rPr>
      </w:pPr>
      <w:r w:rsidRPr="004E32AD">
        <w:rPr>
          <w:rFonts w:ascii="Arial" w:eastAsia="Times New Roman" w:hAnsi="Arial" w:cs="Arial"/>
          <w:color w:val="222222"/>
          <w:sz w:val="18"/>
          <w:szCs w:val="18"/>
          <w:lang w:eastAsia="hu-HU"/>
        </w:rPr>
        <w:t>Bővebben: </w:t>
      </w:r>
      <w:hyperlink r:id="rId9" w:tgtFrame="_blank" w:history="1">
        <w:r w:rsidRPr="004E32AD">
          <w:rPr>
            <w:rFonts w:ascii="Arial" w:eastAsia="Times New Roman" w:hAnsi="Arial" w:cs="Arial"/>
            <w:color w:val="1155CC"/>
            <w:sz w:val="18"/>
            <w:szCs w:val="18"/>
            <w:u w:val="single"/>
            <w:lang w:eastAsia="hu-HU"/>
          </w:rPr>
          <w:t>https://www.timberland-capital.com/hu/befektetesi-formak/kamatozo-letet/</w:t>
        </w:r>
      </w:hyperlink>
    </w:p>
    <w:p w:rsidR="004E32AD" w:rsidRPr="004E32AD" w:rsidRDefault="004E32AD" w:rsidP="004E32AD">
      <w:pPr>
        <w:shd w:val="clear" w:color="auto" w:fill="FFFFFF"/>
        <w:spacing w:after="0" w:line="240" w:lineRule="auto"/>
        <w:ind w:left="360"/>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E három portfólió </w:t>
      </w:r>
      <w:proofErr w:type="gramStart"/>
      <w:r w:rsidRPr="004E32AD">
        <w:rPr>
          <w:rFonts w:ascii="Arial" w:eastAsia="Times New Roman" w:hAnsi="Arial" w:cs="Arial"/>
          <w:color w:val="222222"/>
          <w:sz w:val="20"/>
          <w:szCs w:val="20"/>
          <w:lang w:eastAsia="hu-HU"/>
        </w:rPr>
        <w:t>elem különböző</w:t>
      </w:r>
      <w:proofErr w:type="gramEnd"/>
      <w:r w:rsidRPr="004E32AD">
        <w:rPr>
          <w:rFonts w:ascii="Arial" w:eastAsia="Times New Roman" w:hAnsi="Arial" w:cs="Arial"/>
          <w:color w:val="222222"/>
          <w:sz w:val="20"/>
          <w:szCs w:val="20"/>
          <w:lang w:eastAsia="hu-HU"/>
        </w:rPr>
        <w:t xml:space="preserve"> arányú vegyítésével hoztuk létre befektetési osztályainkat, melyekről bővebben itt olvashat. </w:t>
      </w:r>
      <w:hyperlink r:id="rId10" w:tgtFrame="_blank" w:history="1">
        <w:r w:rsidRPr="004E32AD">
          <w:rPr>
            <w:rFonts w:ascii="Arial" w:eastAsia="Times New Roman" w:hAnsi="Arial" w:cs="Arial"/>
            <w:color w:val="1155CC"/>
            <w:sz w:val="18"/>
            <w:szCs w:val="18"/>
            <w:u w:val="single"/>
            <w:lang w:eastAsia="hu-HU"/>
          </w:rPr>
          <w:t>https://www.timberland-capital.com/hu/befektetesi-formak/optimix-a/</w:t>
        </w:r>
      </w:hyperlink>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Ajánlom tovább weboldalunk főoldalán található termékfilmünket, mely jó összefoglalást </w:t>
      </w:r>
      <w:proofErr w:type="spellStart"/>
      <w:r w:rsidRPr="004E32AD">
        <w:rPr>
          <w:rFonts w:ascii="Arial" w:eastAsia="Times New Roman" w:hAnsi="Arial" w:cs="Arial"/>
          <w:color w:val="222222"/>
          <w:sz w:val="20"/>
          <w:szCs w:val="20"/>
          <w:lang w:eastAsia="hu-HU"/>
        </w:rPr>
        <w:t>ad.</w:t>
      </w:r>
      <w:hyperlink r:id="rId11" w:tgtFrame="_blank" w:history="1">
        <w:r w:rsidRPr="004E32AD">
          <w:rPr>
            <w:rFonts w:ascii="Arial" w:eastAsia="Times New Roman" w:hAnsi="Arial" w:cs="Arial"/>
            <w:color w:val="1155CC"/>
            <w:sz w:val="20"/>
            <w:szCs w:val="20"/>
            <w:u w:val="single"/>
            <w:lang w:eastAsia="hu-HU"/>
          </w:rPr>
          <w:t>https</w:t>
        </w:r>
        <w:proofErr w:type="spellEnd"/>
        <w:r w:rsidRPr="004E32AD">
          <w:rPr>
            <w:rFonts w:ascii="Arial" w:eastAsia="Times New Roman" w:hAnsi="Arial" w:cs="Arial"/>
            <w:color w:val="1155CC"/>
            <w:sz w:val="20"/>
            <w:szCs w:val="20"/>
            <w:u w:val="single"/>
            <w:lang w:eastAsia="hu-HU"/>
          </w:rPr>
          <w:t>://www.timberland-capital.com/hu/kezdolap/</w:t>
        </w:r>
      </w:hyperlink>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br/>
        <w:t> </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Termékünk legnagyobb előnye, hogy az egyes befektetési osztályok között a futamidő során bármikor adó- és költségmentes, azonnali átlépést biztosítunk. Ezzel lehetővé tesszük ügyfeleinknek, hogy tőkéjüket és megtermelt hozamaikat a válságos időkben is megőrizhessék. Hosszú távon (10-20 év) pedig nagy eséllyel fordulnak elő ilyen időszakok, mint például 2008-ban vagy 2011-ben is előfordult.</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Mind a várható hozamok, mind  a költségszerkezet, a futamidő (minimum 7 év) és egészében a teljes befektetési stratégiánk is fenti elemekre lett felépítve. Mindezeket figyelembe véve nem igaz az az állítása, hogy termékünkkel egy nehezen behozható hátránya keletkezik ügyfelünknek. A menedzsment díj fixen 1%, nem pedig 1,6%.</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Nem igaz azon állítása sem, miszerint "trükkel biztosítjuk" ügynökeink kifizetését. A 1,5% levonása a fennmaradó évekre vetítve egy lehetőség, ami az alap védelmében áll rendelkezésünkre. Hogy ezt a menedzsment alkalmazza-e, egyéni döntés kérdése. Megjegyzem, az eddigi visszavásárlások során egyszer sem érvényesítettük ezt a díjat.</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Összességében tehát a </w:t>
      </w:r>
      <w:proofErr w:type="spellStart"/>
      <w:r w:rsidRPr="004E32AD">
        <w:rPr>
          <w:rFonts w:ascii="Arial" w:eastAsia="Times New Roman" w:hAnsi="Arial" w:cs="Arial"/>
          <w:color w:val="222222"/>
          <w:sz w:val="20"/>
          <w:szCs w:val="20"/>
          <w:lang w:eastAsia="hu-HU"/>
        </w:rPr>
        <w:t>Timberland</w:t>
      </w:r>
      <w:proofErr w:type="spellEnd"/>
      <w:r w:rsidRPr="004E32AD">
        <w:rPr>
          <w:rFonts w:ascii="Arial" w:eastAsia="Times New Roman" w:hAnsi="Arial" w:cs="Arial"/>
          <w:color w:val="222222"/>
          <w:sz w:val="20"/>
          <w:szCs w:val="20"/>
          <w:lang w:eastAsia="hu-HU"/>
        </w:rPr>
        <w:t xml:space="preserve"> Befektetési Alap egy komplex termék, szolgáltatáscsomag mely </w:t>
      </w:r>
      <w:proofErr w:type="spellStart"/>
      <w:r w:rsidRPr="004E32AD">
        <w:rPr>
          <w:rFonts w:ascii="Arial" w:eastAsia="Times New Roman" w:hAnsi="Arial" w:cs="Arial"/>
          <w:color w:val="222222"/>
          <w:sz w:val="20"/>
          <w:szCs w:val="20"/>
          <w:lang w:eastAsia="hu-HU"/>
        </w:rPr>
        <w:t>hosszútávú</w:t>
      </w:r>
      <w:proofErr w:type="spellEnd"/>
      <w:r w:rsidRPr="004E32AD">
        <w:rPr>
          <w:rFonts w:ascii="Arial" w:eastAsia="Times New Roman" w:hAnsi="Arial" w:cs="Arial"/>
          <w:color w:val="222222"/>
          <w:sz w:val="20"/>
          <w:szCs w:val="20"/>
          <w:lang w:eastAsia="hu-HU"/>
        </w:rPr>
        <w:t xml:space="preserve"> vagyonkezelést kínál a befektetőknek. Az egyedi alapokkal és TBSZ számlákkal éppen ezért értelmetlen az összehasonlítása.</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Felhívom még a figyelmét továbbá, hogy cégünk rendelkezik nyílt végű befektetési alappal is (TIMBERLAND TOP-DIVIDENDE - ISIN  LU0640388186), mely szintén osztalékorientált részvényekbe fektet, az osztalékstratégiát követve. Már csak ezért sem vagyunk rászorulva arra, hogy más (egyébként neves) alapokat újracsomagolva tovább értékesítsünk. Nyílt végű alapunkat Magyarországon nem forgalmazzuk.</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Fent leírtakat figyelembe véve szeretném kérni Öntől </w:t>
      </w:r>
      <w:proofErr w:type="spellStart"/>
      <w:r w:rsidRPr="004E32AD">
        <w:rPr>
          <w:rFonts w:ascii="Arial" w:eastAsia="Times New Roman" w:hAnsi="Arial" w:cs="Arial"/>
          <w:color w:val="222222"/>
          <w:sz w:val="20"/>
          <w:szCs w:val="20"/>
          <w:lang w:eastAsia="hu-HU"/>
        </w:rPr>
        <w:t>blogbejegyzésének</w:t>
      </w:r>
      <w:proofErr w:type="spellEnd"/>
      <w:r w:rsidRPr="004E32AD">
        <w:rPr>
          <w:rFonts w:ascii="Arial" w:eastAsia="Times New Roman" w:hAnsi="Arial" w:cs="Arial"/>
          <w:color w:val="222222"/>
          <w:sz w:val="20"/>
          <w:szCs w:val="20"/>
          <w:lang w:eastAsia="hu-HU"/>
        </w:rPr>
        <w:t xml:space="preserve"> módosítását, a nem valós és cégünket lejárató állítások törlését, helyesbítését.</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Nem feltételezem, hogy a bejegyzés rosszindulatból vagy szándékos lejáratásból született volna, sokkal inkább úgy látom, hogy a tévedések a termék és a tények felületes ismeretéből fakadnak.</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 xml:space="preserve">Sajnos egy befektetési terméket részletekbe menően e-mailben nem lehet leírni, ezért szeretnék felajánlani egy személyes találkozót Önnek, ahol nagyon szívesen bemutatom cégünket és termékeinket az objektív véleményformálás elősegítésére. Ha élni kíván a lehetőséggel, </w:t>
      </w:r>
      <w:proofErr w:type="gramStart"/>
      <w:r w:rsidRPr="004E32AD">
        <w:rPr>
          <w:rFonts w:ascii="Arial" w:eastAsia="Times New Roman" w:hAnsi="Arial" w:cs="Arial"/>
          <w:color w:val="222222"/>
          <w:sz w:val="20"/>
          <w:szCs w:val="20"/>
          <w:lang w:eastAsia="hu-HU"/>
        </w:rPr>
        <w:t>kérem</w:t>
      </w:r>
      <w:proofErr w:type="gramEnd"/>
      <w:r w:rsidRPr="004E32AD">
        <w:rPr>
          <w:rFonts w:ascii="Arial" w:eastAsia="Times New Roman" w:hAnsi="Arial" w:cs="Arial"/>
          <w:color w:val="222222"/>
          <w:sz w:val="20"/>
          <w:szCs w:val="20"/>
          <w:lang w:eastAsia="hu-HU"/>
        </w:rPr>
        <w:t xml:space="preserve"> jelezze.</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r w:rsidRPr="004E32AD">
        <w:rPr>
          <w:rFonts w:ascii="Arial" w:eastAsia="Times New Roman" w:hAnsi="Arial" w:cs="Arial"/>
          <w:color w:val="222222"/>
          <w:sz w:val="20"/>
          <w:szCs w:val="20"/>
          <w:lang w:eastAsia="hu-HU"/>
        </w:rPr>
        <w:t>Válaszát várva, tisztelettel,</w:t>
      </w: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
    <w:p w:rsidR="004E32AD" w:rsidRPr="004E32AD" w:rsidRDefault="004E32AD" w:rsidP="004E32AD">
      <w:pPr>
        <w:shd w:val="clear" w:color="auto" w:fill="FFFFFF"/>
        <w:spacing w:after="0" w:line="240" w:lineRule="auto"/>
        <w:rPr>
          <w:rFonts w:ascii="Arial" w:eastAsia="Times New Roman" w:hAnsi="Arial" w:cs="Arial"/>
          <w:color w:val="222222"/>
          <w:sz w:val="20"/>
          <w:szCs w:val="20"/>
          <w:lang w:eastAsia="hu-HU"/>
        </w:rPr>
      </w:pPr>
      <w:proofErr w:type="spellStart"/>
      <w:r w:rsidRPr="004E32AD">
        <w:rPr>
          <w:rFonts w:ascii="Arial" w:eastAsia="Times New Roman" w:hAnsi="Arial" w:cs="Arial"/>
          <w:color w:val="222222"/>
          <w:sz w:val="20"/>
          <w:szCs w:val="20"/>
          <w:lang w:eastAsia="hu-HU"/>
        </w:rPr>
        <w:t>Goretity</w:t>
      </w:r>
      <w:proofErr w:type="spellEnd"/>
      <w:r w:rsidRPr="004E32AD">
        <w:rPr>
          <w:rFonts w:ascii="Arial" w:eastAsia="Times New Roman" w:hAnsi="Arial" w:cs="Arial"/>
          <w:color w:val="222222"/>
          <w:sz w:val="20"/>
          <w:szCs w:val="20"/>
          <w:lang w:eastAsia="hu-HU"/>
        </w:rPr>
        <w:t xml:space="preserve"> Milán</w:t>
      </w:r>
    </w:p>
    <w:p w:rsidR="00031C54" w:rsidRDefault="004E32AD" w:rsidP="004E32AD">
      <w:proofErr w:type="gramStart"/>
      <w:r w:rsidRPr="004E32AD">
        <w:rPr>
          <w:rFonts w:ascii="Arial" w:eastAsia="Times New Roman" w:hAnsi="Arial" w:cs="Arial"/>
          <w:color w:val="222222"/>
          <w:sz w:val="20"/>
          <w:szCs w:val="20"/>
          <w:lang w:eastAsia="hu-HU"/>
        </w:rPr>
        <w:t>képviseleti</w:t>
      </w:r>
      <w:proofErr w:type="gramEnd"/>
      <w:r w:rsidRPr="004E32AD">
        <w:rPr>
          <w:rFonts w:ascii="Arial" w:eastAsia="Times New Roman" w:hAnsi="Arial" w:cs="Arial"/>
          <w:color w:val="222222"/>
          <w:sz w:val="20"/>
          <w:szCs w:val="20"/>
          <w:lang w:eastAsia="hu-HU"/>
        </w:rPr>
        <w:t xml:space="preserve"> vezető</w:t>
      </w:r>
      <w:bookmarkStart w:id="0" w:name="_GoBack"/>
      <w:bookmarkEnd w:id="0"/>
    </w:p>
    <w:sectPr w:rsidR="0003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AD"/>
    <w:rsid w:val="00385393"/>
    <w:rsid w:val="004E32AD"/>
    <w:rsid w:val="00F32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E32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E32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E32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E3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berland-capital.com/hu/befektetesi-formak/aranyletet-akt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mignac.fr/en/carmignac-investissement-a-eur-ac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ws.de/Produkte/Fonds/592/Portrait" TargetMode="External"/><Relationship Id="rId11" Type="http://schemas.openxmlformats.org/officeDocument/2006/relationships/hyperlink" Target="https://www.timberland-capital.com/hu/kezdolap/" TargetMode="External"/><Relationship Id="rId5" Type="http://schemas.openxmlformats.org/officeDocument/2006/relationships/hyperlink" Target="http://www.dje.de/DE_de/fonds/wertentwicklung/lu0229080733-dje-dividende-und-substanz-xp-eur" TargetMode="External"/><Relationship Id="rId10" Type="http://schemas.openxmlformats.org/officeDocument/2006/relationships/hyperlink" Target="https://www.timberland-capital.com/hu/befektetesi-formak/optimix-a/" TargetMode="External"/><Relationship Id="rId4" Type="http://schemas.openxmlformats.org/officeDocument/2006/relationships/webSettings" Target="webSettings.xml"/><Relationship Id="rId9" Type="http://schemas.openxmlformats.org/officeDocument/2006/relationships/hyperlink" Target="https://www.timberland-capital.com/hu/befektetesi-formak/kamatozo-let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6238</Characters>
  <Application>Microsoft Office Word</Application>
  <DocSecurity>0</DocSecurity>
  <Lines>51</Lines>
  <Paragraphs>14</Paragraphs>
  <ScaleCrop>false</ScaleCrop>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Kiszámoló</dc:creator>
  <cp:lastModifiedBy>Kiszámoló</cp:lastModifiedBy>
  <cp:revision>1</cp:revision>
  <dcterms:created xsi:type="dcterms:W3CDTF">2015-01-14T20:42:00Z</dcterms:created>
  <dcterms:modified xsi:type="dcterms:W3CDTF">2015-01-14T20:42:00Z</dcterms:modified>
</cp:coreProperties>
</file>